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blizzard.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blizzard.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Mullen.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advisors,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upheaval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chancellor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Glenn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Dubois.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Chancellor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Dubois,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VCCS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headquarters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obligations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commencement,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blizzard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blizzard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blizzard,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blizzard.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enrollment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noticeably.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interrupted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broadband.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00:04:54]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laptop,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broadband,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utility,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household,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'22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semester?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00:05:42]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enroll,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satellite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Commonwealth,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overdue.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(laughing)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corresponding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frankly,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Glenn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Dubois,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chancellor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 Dubois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Morrissey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chancellor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Morrissey,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pivot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pivot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declared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face-to-face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VCCS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face-to-face.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protocols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curriculum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redesign.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face-to-face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hands-on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manufacturing,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face-to-face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hands-on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hands-on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protocols,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sizes.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stackable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credentials.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certificate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certification,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chancellor,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charged,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VCCS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co-chaired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injustice,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chancellor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August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desegregated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stakeholders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VCCS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socioeconomic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six-year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student-centered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Morrissey,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chancellor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 Morrisey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Mullen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Mullen.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IVCC-s2e1-pandemicbeginning (Completed  02/25/21)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26,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7IidXkZ78WLQ5olg1Dz5L6t5f6Ih6EC3t5C3g17xRRcZZxJMkrCQGWaIGVIXpweEdcjkUJcCmmoxE5NPiak7rd_PlTc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